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D4" w:rsidRDefault="00C91FD4" w:rsidP="00C91FD4">
      <w:r>
        <w:t>2011-08-03</w:t>
      </w:r>
    </w:p>
    <w:p w:rsidR="00C91FD4" w:rsidRDefault="00C91FD4" w:rsidP="00C91FD4">
      <w:pPr>
        <w:jc w:val="center"/>
      </w:pPr>
    </w:p>
    <w:p w:rsidR="00C91FD4" w:rsidRDefault="00C91FD4" w:rsidP="00C91FD4">
      <w:pPr>
        <w:jc w:val="center"/>
      </w:pPr>
      <w:r>
        <w:t>Podatek VAT</w:t>
      </w:r>
      <w:r>
        <w:t>:</w:t>
      </w:r>
    </w:p>
    <w:p w:rsidR="00C52B11" w:rsidRPr="00C91FD4" w:rsidRDefault="00105A8B" w:rsidP="00C91FD4">
      <w:pPr>
        <w:jc w:val="center"/>
        <w:rPr>
          <w:b/>
          <w:u w:val="single"/>
        </w:rPr>
      </w:pPr>
      <w:r w:rsidRPr="00C91FD4">
        <w:rPr>
          <w:b/>
          <w:u w:val="single"/>
        </w:rPr>
        <w:t>Odwrotne obciążenie w VAT – Czy nowe zasady  pomogą czy zaszkodzą podatnikom</w:t>
      </w:r>
    </w:p>
    <w:p w:rsidR="00105A8B" w:rsidRDefault="00105A8B"/>
    <w:p w:rsidR="00A86CAE" w:rsidRDefault="00A86CAE"/>
    <w:p w:rsidR="00A86CAE" w:rsidRDefault="00B270A6">
      <w:pPr>
        <w:rPr>
          <w:b/>
        </w:rPr>
      </w:pPr>
      <w:r w:rsidRPr="009E1B92">
        <w:rPr>
          <w:b/>
        </w:rPr>
        <w:t xml:space="preserve">Czym jest </w:t>
      </w:r>
      <w:proofErr w:type="spellStart"/>
      <w:r w:rsidRPr="009E1B92">
        <w:rPr>
          <w:b/>
        </w:rPr>
        <w:t>r</w:t>
      </w:r>
      <w:r w:rsidR="00A86CAE" w:rsidRPr="009E1B92">
        <w:rPr>
          <w:b/>
        </w:rPr>
        <w:t>everse</w:t>
      </w:r>
      <w:proofErr w:type="spellEnd"/>
      <w:r w:rsidR="00A86CAE" w:rsidRPr="009E1B92">
        <w:rPr>
          <w:b/>
        </w:rPr>
        <w:t xml:space="preserve"> </w:t>
      </w:r>
      <w:proofErr w:type="spellStart"/>
      <w:r w:rsidRPr="009E1B92">
        <w:rPr>
          <w:b/>
        </w:rPr>
        <w:t>c</w:t>
      </w:r>
      <w:r w:rsidR="00A86CAE" w:rsidRPr="009E1B92">
        <w:rPr>
          <w:b/>
        </w:rPr>
        <w:t>harge</w:t>
      </w:r>
      <w:proofErr w:type="spellEnd"/>
      <w:r w:rsidR="00532D0E" w:rsidRPr="009E1B92">
        <w:rPr>
          <w:b/>
        </w:rPr>
        <w:t xml:space="preserve"> </w:t>
      </w:r>
      <w:r w:rsidR="00A86CAE" w:rsidRPr="009E1B92">
        <w:rPr>
          <w:b/>
        </w:rPr>
        <w:t>?</w:t>
      </w:r>
    </w:p>
    <w:p w:rsidR="00743DF2" w:rsidRPr="00743DF2" w:rsidRDefault="00743DF2" w:rsidP="006B24B1">
      <w:pPr>
        <w:jc w:val="both"/>
      </w:pPr>
      <w:proofErr w:type="spellStart"/>
      <w:r w:rsidRPr="00743DF2">
        <w:t>Reverse</w:t>
      </w:r>
      <w:proofErr w:type="spellEnd"/>
      <w:r w:rsidRPr="00743DF2">
        <w:t xml:space="preserve"> </w:t>
      </w:r>
      <w:proofErr w:type="spellStart"/>
      <w:r w:rsidRPr="00743DF2">
        <w:t>charge</w:t>
      </w:r>
      <w:proofErr w:type="spellEnd"/>
      <w:r w:rsidRPr="00743DF2">
        <w:t xml:space="preserve"> </w:t>
      </w:r>
      <w:r>
        <w:t>(</w:t>
      </w:r>
      <w:r w:rsidRPr="00743DF2">
        <w:t>odwrotne obciążenie)</w:t>
      </w:r>
      <w:r w:rsidR="000D2639">
        <w:t xml:space="preserve"> to</w:t>
      </w:r>
      <w:r>
        <w:t xml:space="preserve"> </w:t>
      </w:r>
      <w:r w:rsidR="00532D0E">
        <w:t xml:space="preserve">metoda rozliczenia podatku VAT </w:t>
      </w:r>
      <w:r>
        <w:t>polega</w:t>
      </w:r>
      <w:r w:rsidR="00532D0E">
        <w:t xml:space="preserve">jąca </w:t>
      </w:r>
      <w:r>
        <w:t>na</w:t>
      </w:r>
      <w:r w:rsidR="000D2639">
        <w:t> </w:t>
      </w:r>
      <w:r>
        <w:t xml:space="preserve">przeniesieniu obowiązku </w:t>
      </w:r>
      <w:r w:rsidR="000D2639">
        <w:t xml:space="preserve">naliczenia </w:t>
      </w:r>
      <w:r>
        <w:t xml:space="preserve">podatku od sprzedaży ze sprzedającego na kupującego. </w:t>
      </w:r>
      <w:r w:rsidR="00532D0E">
        <w:t xml:space="preserve">Kupujący zobowiązany jest do wykazania i rozliczenia VAT należnego i naliczonego w jego deklaracji VAT </w:t>
      </w:r>
      <w:r w:rsidR="000D2639">
        <w:t xml:space="preserve">poprzez </w:t>
      </w:r>
      <w:r w:rsidR="00532D0E">
        <w:t>tzw.</w:t>
      </w:r>
      <w:r w:rsidR="00FA4CCF">
        <w:t> </w:t>
      </w:r>
      <w:proofErr w:type="spellStart"/>
      <w:r w:rsidR="00532D0E">
        <w:t>samonaliczenie</w:t>
      </w:r>
      <w:proofErr w:type="spellEnd"/>
      <w:r w:rsidR="00532D0E">
        <w:t xml:space="preserve"> podatku.</w:t>
      </w:r>
    </w:p>
    <w:p w:rsidR="00A86CAE" w:rsidRDefault="00A86CAE"/>
    <w:p w:rsidR="00532D0E" w:rsidRPr="00A86CAE" w:rsidRDefault="00532D0E" w:rsidP="00532D0E">
      <w:pPr>
        <w:rPr>
          <w:b/>
        </w:rPr>
      </w:pPr>
      <w:r w:rsidRPr="009E1B92">
        <w:rPr>
          <w:b/>
        </w:rPr>
        <w:t xml:space="preserve">W jakich przypadkach </w:t>
      </w:r>
      <w:proofErr w:type="spellStart"/>
      <w:r w:rsidRPr="009E1B92">
        <w:rPr>
          <w:b/>
        </w:rPr>
        <w:t>reverse</w:t>
      </w:r>
      <w:proofErr w:type="spellEnd"/>
      <w:r w:rsidRPr="009E1B92">
        <w:rPr>
          <w:b/>
        </w:rPr>
        <w:t xml:space="preserve"> </w:t>
      </w:r>
      <w:proofErr w:type="spellStart"/>
      <w:r w:rsidRPr="009E1B92">
        <w:rPr>
          <w:b/>
        </w:rPr>
        <w:t>charge</w:t>
      </w:r>
      <w:proofErr w:type="spellEnd"/>
      <w:r w:rsidRPr="009E1B92">
        <w:rPr>
          <w:b/>
        </w:rPr>
        <w:t xml:space="preserve">  ma zastosowanie. </w:t>
      </w:r>
    </w:p>
    <w:p w:rsidR="00FA4CCF" w:rsidRDefault="007933A5" w:rsidP="006B24B1">
      <w:pPr>
        <w:jc w:val="both"/>
      </w:pPr>
      <w:r>
        <w:t>Metodę odwrotnego obciążenia jest w Polsce coraz bardziej popu</w:t>
      </w:r>
      <w:r w:rsidR="000D2639">
        <w:t>larna. Powszechnie stosujemy ją </w:t>
      </w:r>
      <w:r>
        <w:t>przy nabywaniu usług z zagranicy (</w:t>
      </w:r>
      <w:r w:rsidR="006B24B1">
        <w:t xml:space="preserve">przy </w:t>
      </w:r>
      <w:r>
        <w:t>impor</w:t>
      </w:r>
      <w:r w:rsidR="006B24B1">
        <w:t>cie</w:t>
      </w:r>
      <w:r>
        <w:t xml:space="preserve"> usług), których miejsce opodatkowania </w:t>
      </w:r>
      <w:r w:rsidR="006B24B1">
        <w:t xml:space="preserve">znajduje się na terytorium </w:t>
      </w:r>
      <w:r>
        <w:t>Pols</w:t>
      </w:r>
      <w:r w:rsidR="006B24B1">
        <w:t>ki</w:t>
      </w:r>
      <w:r>
        <w:t xml:space="preserve"> (zgodnie z art. 28b ustawy o podatku od towarów i usług)</w:t>
      </w:r>
      <w:r w:rsidR="00920865">
        <w:rPr>
          <w:rStyle w:val="Odwoanieprzypisudolnego"/>
        </w:rPr>
        <w:footnoteReference w:id="1"/>
      </w:r>
      <w:r>
        <w:t>.</w:t>
      </w:r>
    </w:p>
    <w:p w:rsidR="007933A5" w:rsidRPr="00753339" w:rsidRDefault="00FA4CCF" w:rsidP="006B24B1">
      <w:pPr>
        <w:jc w:val="both"/>
      </w:pPr>
      <w:r>
        <w:t>Począwszy o</w:t>
      </w:r>
      <w:r w:rsidR="007933A5">
        <w:t xml:space="preserve">d 1 kwietnia 2011 r. metoda ta jako obowiązkowa stosowana jest również przy nabywaniu towarów </w:t>
      </w:r>
      <w:r w:rsidR="00DA344F">
        <w:t xml:space="preserve">(nie używanych) </w:t>
      </w:r>
      <w:r w:rsidR="007933A5">
        <w:t>od przedsiębiorców zag</w:t>
      </w:r>
      <w:r w:rsidR="00C91FD4">
        <w:t>ranicznych, nieposiadających na </w:t>
      </w:r>
      <w:r w:rsidR="007933A5">
        <w:t>terytorium Polski stałego miejsca prowadzenia działalności gospodarczej</w:t>
      </w:r>
      <w:r>
        <w:t xml:space="preserve"> przez przedsiębiorców p</w:t>
      </w:r>
      <w:r w:rsidRPr="00FA4CCF">
        <w:t>osiadający</w:t>
      </w:r>
      <w:r>
        <w:t>ch</w:t>
      </w:r>
      <w:r w:rsidRPr="00FA4CCF">
        <w:t xml:space="preserve"> </w:t>
      </w:r>
      <w:r>
        <w:t xml:space="preserve">w Polsce </w:t>
      </w:r>
      <w:r w:rsidRPr="00753339">
        <w:t>siedzibę, stałe miejsce prowadzenia działalności lub stałe miejsce zamieszkania.</w:t>
      </w:r>
    </w:p>
    <w:p w:rsidR="006D5FDB" w:rsidRDefault="00753339" w:rsidP="006B24B1">
      <w:pPr>
        <w:jc w:val="both"/>
      </w:pPr>
      <w:r>
        <w:t>Do końca marca 2011 r.</w:t>
      </w:r>
      <w:r w:rsidR="006D5FDB" w:rsidRPr="00753339">
        <w:t xml:space="preserve"> </w:t>
      </w:r>
      <w:r>
        <w:t xml:space="preserve">przedsiębiorcy </w:t>
      </w:r>
      <w:r w:rsidR="006D5FDB" w:rsidRPr="00753339">
        <w:t xml:space="preserve">w przypadku </w:t>
      </w:r>
      <w:r w:rsidR="000D5A65" w:rsidRPr="00753339">
        <w:t xml:space="preserve">nabywania </w:t>
      </w:r>
      <w:r w:rsidR="006D5FDB" w:rsidRPr="00753339">
        <w:t xml:space="preserve">usług jak i towarów </w:t>
      </w:r>
      <w:r>
        <w:t>od zagranicznych kontrahentów nie posiadających w Polsce stałego miejsca prowadzenia działalności</w:t>
      </w:r>
      <w:r w:rsidR="006D5FDB" w:rsidRPr="00753339">
        <w:t xml:space="preserve"> sami </w:t>
      </w:r>
      <w:r>
        <w:t xml:space="preserve">mogli </w:t>
      </w:r>
      <w:r w:rsidR="006D5FDB" w:rsidRPr="00753339">
        <w:t>ustalić kto jest zobowiązany do rozliczenia p</w:t>
      </w:r>
      <w:r w:rsidR="000D5A65" w:rsidRPr="00753339">
        <w:t>o</w:t>
      </w:r>
      <w:r w:rsidR="006D5FDB" w:rsidRPr="00753339">
        <w:t>datku VAT</w:t>
      </w:r>
      <w:r>
        <w:t xml:space="preserve"> (nabywca czy sprzedawca)</w:t>
      </w:r>
      <w:r w:rsidR="000D5A65" w:rsidRPr="00753339">
        <w:t>. Bezsprzecznie</w:t>
      </w:r>
      <w:r>
        <w:t xml:space="preserve"> było to </w:t>
      </w:r>
      <w:r w:rsidR="000D5A65">
        <w:t xml:space="preserve">dla nich korzystniejsze. </w:t>
      </w:r>
      <w:r>
        <w:t xml:space="preserve">Nie mniej jednak </w:t>
      </w:r>
      <w:r w:rsidR="000D5A65">
        <w:t>Minister</w:t>
      </w:r>
      <w:r>
        <w:t>stwo Finansów stwierdziło w uzasadnieniu do wprowadzanych zmian</w:t>
      </w:r>
      <w:r w:rsidR="000D5A65">
        <w:t>, że</w:t>
      </w:r>
      <w:r w:rsidR="000D2639">
        <w:t xml:space="preserve"> ”wprowadzana </w:t>
      </w:r>
      <w:r w:rsidR="000D5A65">
        <w:t xml:space="preserve"> </w:t>
      </w:r>
      <w:r w:rsidR="000D2639">
        <w:t>zmiana ma charakter upraszczający (chyba tylko dla urzędu skarbowego – przyp. autora), gdyż dotychczasowe przepisy w takich przypadkach wskazywały, że podatnikiem był usługobiorca lub nabywca towarów (możliwość uzgodnienia przez strony kontraktu – przyp.</w:t>
      </w:r>
      <w:r w:rsidR="00C07BF7">
        <w:t xml:space="preserve"> autora), ale z wyjątkiem przypadków, gdy </w:t>
      </w:r>
      <w:r w:rsidR="00C0161D">
        <w:t>usługodawca towarów rozliczył należny podatek”. Minister dodał, że taka sytuacja mogła budzić wątpliwości w zakresie podmiotu zobowiązanego do rozliczenia w takich sytuacjach podatku. Pytanie tylko kto miał wątpliwości –</w:t>
      </w:r>
      <w:r w:rsidR="00C91FD4">
        <w:t xml:space="preserve"> bo </w:t>
      </w:r>
      <w:r w:rsidR="00C0161D">
        <w:t>na pewno nie przedsiębiorcy, których łączyła przecież umowa</w:t>
      </w:r>
      <w:r w:rsidR="000D5A65">
        <w:t xml:space="preserve"> handlow</w:t>
      </w:r>
      <w:r w:rsidR="00C0161D">
        <w:t>a regulujące kwestie rozliczania podatku VAT.</w:t>
      </w:r>
      <w:r w:rsidR="000D5A65">
        <w:t xml:space="preserve"> </w:t>
      </w:r>
      <w:r w:rsidR="00C0161D">
        <w:t xml:space="preserve">Można więc uznać, że to głównie urzędy skarbowe miały problemy </w:t>
      </w:r>
      <w:r w:rsidR="00C0161D">
        <w:lastRenderedPageBreak/>
        <w:t>z ustaleniem stron zobowiązanych do rozliczenia podatku i to właśnie one były najbardziej zainteresowane wprowadzeniem nowej regulacji</w:t>
      </w:r>
      <w:r>
        <w:t>.</w:t>
      </w:r>
      <w:r w:rsidR="008B14D1">
        <w:t xml:space="preserve"> </w:t>
      </w:r>
    </w:p>
    <w:p w:rsidR="00532D0E" w:rsidRDefault="00753339" w:rsidP="008B14D1">
      <w:pPr>
        <w:jc w:val="both"/>
      </w:pPr>
      <w:r>
        <w:t>Now</w:t>
      </w:r>
      <w:r w:rsidR="008B14D1">
        <w:t>ą</w:t>
      </w:r>
      <w:r>
        <w:t xml:space="preserve"> wersj</w:t>
      </w:r>
      <w:r w:rsidR="008B14D1">
        <w:t>ą</w:t>
      </w:r>
      <w:r>
        <w:t xml:space="preserve"> polskiego </w:t>
      </w:r>
      <w:r w:rsidR="008B14D1">
        <w:t xml:space="preserve">mechanizmu </w:t>
      </w:r>
      <w:proofErr w:type="spellStart"/>
      <w:r>
        <w:t>reverse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</w:t>
      </w:r>
      <w:r w:rsidR="008B14D1">
        <w:t xml:space="preserve">objęto również </w:t>
      </w:r>
      <w:r>
        <w:t>transakcj</w:t>
      </w:r>
      <w:r w:rsidR="008B14D1">
        <w:t>e</w:t>
      </w:r>
      <w:r>
        <w:t xml:space="preserve"> </w:t>
      </w:r>
      <w:r w:rsidR="008B14D1">
        <w:t>obrotu złomem</w:t>
      </w:r>
      <w:r w:rsidR="00B270A6">
        <w:t xml:space="preserve"> oraz  </w:t>
      </w:r>
      <w:r w:rsidR="00B270A6" w:rsidRPr="00B270A6">
        <w:t>usług w zakresie przenoszenia uprawnień do emisji do powietrza gazów cieplarnianych</w:t>
      </w:r>
      <w:r w:rsidR="00B270A6">
        <w:t>.</w:t>
      </w:r>
      <w:r w:rsidR="008B14D1">
        <w:t xml:space="preserve"> Warto podkreślić, że </w:t>
      </w:r>
      <w:r w:rsidR="00E06FE4">
        <w:t xml:space="preserve">z uwagi na duże straty jako ponosił budżet państwa w związku z nielegalnym obrotem złomem, ta zmiana była </w:t>
      </w:r>
      <w:r w:rsidR="008B14D1">
        <w:t xml:space="preserve">akurat bardzo potrzebna </w:t>
      </w:r>
      <w:r w:rsidR="00E06FE4">
        <w:t>i oczekiwana. Polska była bowiem jednym z nielicznych krajów w Unii Europejskiej, które takiego rozwiązania nie posiadała.</w:t>
      </w:r>
    </w:p>
    <w:p w:rsidR="00753339" w:rsidRDefault="00753339"/>
    <w:p w:rsidR="00416841" w:rsidRDefault="00416841">
      <w:pPr>
        <w:rPr>
          <w:b/>
        </w:rPr>
      </w:pPr>
      <w:r w:rsidRPr="009E1B92">
        <w:rPr>
          <w:b/>
        </w:rPr>
        <w:t xml:space="preserve">Rozliczanie </w:t>
      </w:r>
      <w:proofErr w:type="spellStart"/>
      <w:r w:rsidR="00B270A6" w:rsidRPr="009E1B92">
        <w:rPr>
          <w:b/>
        </w:rPr>
        <w:t>reverse</w:t>
      </w:r>
      <w:proofErr w:type="spellEnd"/>
      <w:r w:rsidR="00B270A6" w:rsidRPr="009E1B92">
        <w:rPr>
          <w:b/>
        </w:rPr>
        <w:t xml:space="preserve"> </w:t>
      </w:r>
      <w:proofErr w:type="spellStart"/>
      <w:r w:rsidR="00B270A6" w:rsidRPr="009E1B92">
        <w:rPr>
          <w:b/>
        </w:rPr>
        <w:t>charge</w:t>
      </w:r>
      <w:proofErr w:type="spellEnd"/>
      <w:r w:rsidRPr="009E1B92">
        <w:rPr>
          <w:b/>
        </w:rPr>
        <w:t xml:space="preserve"> w deklaracji VAT</w:t>
      </w:r>
    </w:p>
    <w:p w:rsidR="001210BD" w:rsidRDefault="001210BD" w:rsidP="008B6BB0">
      <w:pPr>
        <w:jc w:val="both"/>
      </w:pPr>
      <w:r w:rsidRPr="001210BD">
        <w:t>Rozliczenie podatku VAT następuje na</w:t>
      </w:r>
      <w:r>
        <w:t xml:space="preserve"> </w:t>
      </w:r>
      <w:r w:rsidRPr="001210BD">
        <w:t xml:space="preserve">podstawie </w:t>
      </w:r>
      <w:r w:rsidRPr="001210BD">
        <w:rPr>
          <w:b/>
        </w:rPr>
        <w:t>faktury wewnętrznej</w:t>
      </w:r>
      <w:r w:rsidRPr="001210BD">
        <w:t>.</w:t>
      </w:r>
      <w:r>
        <w:t xml:space="preserve"> Przypomnijmy, że faktura wewnętrzna to szczególny dokument, wystawiany </w:t>
      </w:r>
      <w:r w:rsidR="00374BA8">
        <w:t xml:space="preserve">w celu naliczenia podatku VAT </w:t>
      </w:r>
      <w:r>
        <w:t>na własne potrzeby dowodowe</w:t>
      </w:r>
      <w:r w:rsidR="00374BA8">
        <w:t xml:space="preserve">. Dokument taki </w:t>
      </w:r>
      <w:r>
        <w:t xml:space="preserve"> nie posiada odbiorcy.</w:t>
      </w:r>
      <w:r w:rsidR="00374BA8">
        <w:t xml:space="preserve"> Zgodnie z artykułem 106 st. 7 ustawy o VAT fakturę wewnętrzną wystawia się głównie w przypadku dokonania:</w:t>
      </w:r>
    </w:p>
    <w:p w:rsidR="00374BA8" w:rsidRDefault="00374BA8" w:rsidP="00374BA8">
      <w:pPr>
        <w:pStyle w:val="Akapitzlist"/>
        <w:numPr>
          <w:ilvl w:val="0"/>
          <w:numId w:val="2"/>
        </w:numPr>
      </w:pPr>
      <w:r>
        <w:t>wewnątrzwspólnotowego nabycia towarów,</w:t>
      </w:r>
    </w:p>
    <w:p w:rsidR="00374BA8" w:rsidRDefault="00374BA8" w:rsidP="00374BA8">
      <w:pPr>
        <w:pStyle w:val="Akapitzlist"/>
        <w:numPr>
          <w:ilvl w:val="0"/>
          <w:numId w:val="2"/>
        </w:numPr>
      </w:pPr>
      <w:r>
        <w:t>dostawy towarów, dla której podatnikiem jest nabywca,</w:t>
      </w:r>
    </w:p>
    <w:p w:rsidR="00374BA8" w:rsidRDefault="00374BA8" w:rsidP="00374BA8">
      <w:pPr>
        <w:pStyle w:val="Akapitzlist"/>
        <w:numPr>
          <w:ilvl w:val="0"/>
          <w:numId w:val="2"/>
        </w:numPr>
      </w:pPr>
      <w:r>
        <w:t>oraz importu usług</w:t>
      </w:r>
    </w:p>
    <w:p w:rsidR="00416841" w:rsidRDefault="001210BD" w:rsidP="008B6BB0">
      <w:pPr>
        <w:jc w:val="both"/>
      </w:pPr>
      <w:r w:rsidRPr="008B6BB0">
        <w:rPr>
          <w:u w:val="single"/>
        </w:rPr>
        <w:t>Rozliczenie podatku VAT po stronie sprzedawcy</w:t>
      </w:r>
      <w:r w:rsidR="0034221B" w:rsidRPr="008B6BB0">
        <w:rPr>
          <w:u w:val="single"/>
        </w:rPr>
        <w:t xml:space="preserve"> przez podatników </w:t>
      </w:r>
      <w:r w:rsidR="008B6BB0">
        <w:rPr>
          <w:u w:val="single"/>
        </w:rPr>
        <w:t>VAT czynnych</w:t>
      </w:r>
      <w:r w:rsidR="0034221B">
        <w:t xml:space="preserve"> (podatnicy nie</w:t>
      </w:r>
      <w:r w:rsidR="008B6BB0">
        <w:t> </w:t>
      </w:r>
      <w:r w:rsidR="0034221B">
        <w:t>posiadający w Polsce siedziby lub stałego miejsca prowadzenia działalności nie korzystają ze</w:t>
      </w:r>
      <w:r w:rsidR="008B6BB0">
        <w:t> </w:t>
      </w:r>
      <w:r w:rsidR="0034221B">
        <w:t>zwolnienia).</w:t>
      </w:r>
    </w:p>
    <w:p w:rsidR="00B77AD8" w:rsidRDefault="00B77AD8" w:rsidP="008B6BB0">
      <w:pPr>
        <w:pStyle w:val="Akapitzlist"/>
        <w:numPr>
          <w:ilvl w:val="0"/>
          <w:numId w:val="2"/>
        </w:numPr>
        <w:jc w:val="both"/>
      </w:pPr>
      <w:r>
        <w:t>sprzedawca zobowiązany jest wyłącznie do wykazania podstawy opodatkowania w pozycji 41, pozycj</w:t>
      </w:r>
      <w:r w:rsidR="0034221B">
        <w:t>ę</w:t>
      </w:r>
      <w:r w:rsidR="008B6BB0">
        <w:t xml:space="preserve"> 42 należy pozostawić pustą (podatek deklaruje nabywca) – takie ujęcie wartości kwot w deklaracji pozwoli na kontrolę czy po stronie sprzedawcy i nabywcy występują te same wartości. </w:t>
      </w:r>
    </w:p>
    <w:p w:rsidR="001210BD" w:rsidRPr="008B6BB0" w:rsidRDefault="001210BD" w:rsidP="008B6BB0">
      <w:pPr>
        <w:jc w:val="both"/>
        <w:rPr>
          <w:u w:val="single"/>
        </w:rPr>
      </w:pPr>
      <w:r w:rsidRPr="008B6BB0">
        <w:rPr>
          <w:u w:val="single"/>
        </w:rPr>
        <w:t>Rozliczenie podatku VAT po stronie nabywcy</w:t>
      </w:r>
      <w:r w:rsidR="0034221B" w:rsidRPr="008B6BB0">
        <w:rPr>
          <w:u w:val="single"/>
        </w:rPr>
        <w:t xml:space="preserve"> przez podatników </w:t>
      </w:r>
      <w:r w:rsidR="008B6BB0">
        <w:rPr>
          <w:u w:val="single"/>
        </w:rPr>
        <w:t>VAT czynnych</w:t>
      </w:r>
    </w:p>
    <w:p w:rsidR="001210BD" w:rsidRDefault="001210BD" w:rsidP="008B6BB0">
      <w:pPr>
        <w:pStyle w:val="Akapitzlist"/>
        <w:numPr>
          <w:ilvl w:val="0"/>
          <w:numId w:val="2"/>
        </w:numPr>
        <w:jc w:val="both"/>
      </w:pPr>
      <w:r>
        <w:t xml:space="preserve">rozliczenie podatku VAT należnego </w:t>
      </w:r>
      <w:r w:rsidR="00416841">
        <w:t xml:space="preserve">nabywca </w:t>
      </w:r>
      <w:r w:rsidR="00D13B07">
        <w:t xml:space="preserve"> </w:t>
      </w:r>
      <w:r>
        <w:t xml:space="preserve">zobowiązany jest wykazać w </w:t>
      </w:r>
      <w:r w:rsidR="00D13B07">
        <w:t>pozycj</w:t>
      </w:r>
      <w:r>
        <w:t xml:space="preserve">ach </w:t>
      </w:r>
      <w:r w:rsidR="00D13B07">
        <w:t xml:space="preserve"> 4</w:t>
      </w:r>
      <w:r w:rsidR="008B553E">
        <w:t xml:space="preserve">1 i </w:t>
      </w:r>
      <w:r w:rsidR="00D13B07">
        <w:t>42</w:t>
      </w:r>
      <w:r>
        <w:t>,</w:t>
      </w:r>
    </w:p>
    <w:p w:rsidR="00416841" w:rsidRDefault="00D13B07" w:rsidP="008B6BB0">
      <w:pPr>
        <w:pStyle w:val="Akapitzlist"/>
        <w:numPr>
          <w:ilvl w:val="0"/>
          <w:numId w:val="2"/>
        </w:numPr>
        <w:jc w:val="both"/>
      </w:pPr>
      <w:r>
        <w:t xml:space="preserve"> </w:t>
      </w:r>
      <w:r w:rsidR="00374BA8">
        <w:t>jeżeli nabywca uprawniony jest do odliczenia podatku naliczonego w całości lub</w:t>
      </w:r>
      <w:r w:rsidR="008B553E">
        <w:t xml:space="preserve"> w części, stosowna informacja powinna zostać wykazana w pozycjach 51 i 52</w:t>
      </w:r>
      <w:r w:rsidR="002E7CC5">
        <w:t>.</w:t>
      </w:r>
    </w:p>
    <w:p w:rsidR="0034221B" w:rsidRPr="008B6BB0" w:rsidRDefault="0034221B" w:rsidP="008B6BB0">
      <w:pPr>
        <w:jc w:val="both"/>
        <w:rPr>
          <w:u w:val="single"/>
        </w:rPr>
      </w:pPr>
      <w:r w:rsidRPr="008B6BB0">
        <w:rPr>
          <w:u w:val="single"/>
        </w:rPr>
        <w:t>Rozliczenie podatku VAT po stronie nabywcy przez podatników zwolnionych</w:t>
      </w:r>
      <w:r w:rsidR="008B6BB0">
        <w:rPr>
          <w:u w:val="single"/>
        </w:rPr>
        <w:t xml:space="preserve"> z VAT</w:t>
      </w:r>
      <w:r w:rsidRPr="008B6BB0">
        <w:rPr>
          <w:u w:val="single"/>
        </w:rPr>
        <w:t xml:space="preserve"> </w:t>
      </w:r>
    </w:p>
    <w:p w:rsidR="00D13B07" w:rsidRDefault="0034221B" w:rsidP="008B6BB0">
      <w:pPr>
        <w:pStyle w:val="Akapitzlist"/>
        <w:numPr>
          <w:ilvl w:val="0"/>
          <w:numId w:val="3"/>
        </w:numPr>
        <w:jc w:val="both"/>
      </w:pPr>
      <w:r>
        <w:t>w przypadku nabycia towarów oraz usług od podmiotów nie</w:t>
      </w:r>
      <w:r w:rsidR="008B6BB0">
        <w:t> </w:t>
      </w:r>
      <w:r>
        <w:t>posiadających w Polsce stałego miejsca prowadzenia działalności</w:t>
      </w:r>
      <w:r w:rsidR="008B6BB0">
        <w:t xml:space="preserve"> przez </w:t>
      </w:r>
      <w:r w:rsidR="008B6BB0">
        <w:t>podatni</w:t>
      </w:r>
      <w:r w:rsidR="008B6BB0">
        <w:t>ków zwolnionych</w:t>
      </w:r>
      <w:r w:rsidR="008B6BB0">
        <w:t xml:space="preserve"> z VAT</w:t>
      </w:r>
      <w:r w:rsidR="002E7CC5">
        <w:t xml:space="preserve">, podatnicy </w:t>
      </w:r>
      <w:r>
        <w:t xml:space="preserve"> zobowiązani są</w:t>
      </w:r>
      <w:r w:rsidR="008B6BB0">
        <w:t> </w:t>
      </w:r>
      <w:r>
        <w:t>do</w:t>
      </w:r>
      <w:r w:rsidR="008B6BB0">
        <w:t> </w:t>
      </w:r>
      <w:r>
        <w:t xml:space="preserve">rozliczenia </w:t>
      </w:r>
      <w:r w:rsidR="002E7CC5">
        <w:t xml:space="preserve">wyłącznie </w:t>
      </w:r>
      <w:r>
        <w:t>podatku należnego w deklaracji VAT</w:t>
      </w:r>
      <w:r w:rsidR="00D13B07">
        <w:t>9M</w:t>
      </w:r>
      <w:r w:rsidR="002E7CC5">
        <w:t>.</w:t>
      </w:r>
    </w:p>
    <w:p w:rsidR="009B6669" w:rsidRDefault="009B6669" w:rsidP="009B6669">
      <w:pPr>
        <w:pStyle w:val="Akapitzlist"/>
        <w:jc w:val="both"/>
      </w:pPr>
    </w:p>
    <w:p w:rsidR="009B6669" w:rsidRDefault="009B6669" w:rsidP="009B6669">
      <w:pPr>
        <w:pStyle w:val="Akapitzlist"/>
        <w:jc w:val="both"/>
      </w:pPr>
      <w:r>
        <w:t>obowiązek złożenia deklaracji VAT9m związany jest z tym, że z</w:t>
      </w:r>
      <w:r w:rsidRPr="009B6669">
        <w:t>wolnieni</w:t>
      </w:r>
      <w:r>
        <w:t>e</w:t>
      </w:r>
      <w:r w:rsidR="0062441E">
        <w:t xml:space="preserve"> z VAT ze względu na </w:t>
      </w:r>
      <w:r w:rsidRPr="009B6669">
        <w:t xml:space="preserve">wysokość obrotów nie stosuje się m.in. do dostawy towarów, dla której podatnikiem jest ich nabywca. Wynika to z art. 113 ust. 13 ustawy o VAT. </w:t>
      </w:r>
    </w:p>
    <w:p w:rsidR="00806419" w:rsidRDefault="00806419" w:rsidP="009B6669">
      <w:pPr>
        <w:pStyle w:val="Akapitzlist"/>
        <w:jc w:val="both"/>
      </w:pPr>
    </w:p>
    <w:p w:rsidR="00430452" w:rsidRPr="00806419" w:rsidRDefault="00430452">
      <w:pPr>
        <w:rPr>
          <w:b/>
        </w:rPr>
      </w:pPr>
      <w:r w:rsidRPr="00806419">
        <w:rPr>
          <w:b/>
        </w:rPr>
        <w:lastRenderedPageBreak/>
        <w:t xml:space="preserve">Wyłączenia z obowiązku stosowania </w:t>
      </w:r>
      <w:proofErr w:type="spellStart"/>
      <w:r w:rsidRPr="00806419">
        <w:rPr>
          <w:b/>
        </w:rPr>
        <w:t>reverse</w:t>
      </w:r>
      <w:proofErr w:type="spellEnd"/>
      <w:r w:rsidRPr="00806419">
        <w:rPr>
          <w:b/>
        </w:rPr>
        <w:t xml:space="preserve"> </w:t>
      </w:r>
      <w:proofErr w:type="spellStart"/>
      <w:r w:rsidRPr="00806419">
        <w:rPr>
          <w:b/>
        </w:rPr>
        <w:t>charge</w:t>
      </w:r>
      <w:proofErr w:type="spellEnd"/>
      <w:r w:rsidRPr="00806419">
        <w:rPr>
          <w:b/>
        </w:rPr>
        <w:t>?</w:t>
      </w:r>
    </w:p>
    <w:p w:rsidR="00860CDF" w:rsidRDefault="00430452" w:rsidP="006151C9">
      <w:pPr>
        <w:jc w:val="both"/>
      </w:pPr>
      <w:r w:rsidRPr="00430452">
        <w:t xml:space="preserve">Obowiązek stosowania mechanizmu </w:t>
      </w:r>
      <w:proofErr w:type="spellStart"/>
      <w:r w:rsidRPr="00430452">
        <w:t>reverse</w:t>
      </w:r>
      <w:proofErr w:type="spellEnd"/>
      <w:r w:rsidRPr="00430452">
        <w:t xml:space="preserve"> </w:t>
      </w:r>
      <w:proofErr w:type="spellStart"/>
      <w:r w:rsidRPr="00430452">
        <w:t>charge</w:t>
      </w:r>
      <w:proofErr w:type="spellEnd"/>
      <w:r w:rsidRPr="00430452">
        <w:t xml:space="preserve"> nie ma zastosowania w przypadku</w:t>
      </w:r>
      <w:r>
        <w:t xml:space="preserve"> świadczenia przez </w:t>
      </w:r>
      <w:r>
        <w:rPr>
          <w:b/>
        </w:rPr>
        <w:t>podmiot zarejestrowany usług</w:t>
      </w:r>
      <w:r>
        <w:t xml:space="preserve">, do których ma zastosowanie </w:t>
      </w:r>
      <w:r w:rsidRPr="00430452">
        <w:rPr>
          <w:b/>
        </w:rPr>
        <w:t>art. 28e</w:t>
      </w:r>
      <w:r>
        <w:t xml:space="preserve"> (usługi związane z nieruchomościami) </w:t>
      </w:r>
      <w:r w:rsidR="001A39E7">
        <w:t xml:space="preserve">ustawy o VAT, a także </w:t>
      </w:r>
      <w:r w:rsidR="008A45B9">
        <w:t xml:space="preserve">w przypadku </w:t>
      </w:r>
      <w:r w:rsidR="001A39E7">
        <w:t>świadczenia usług</w:t>
      </w:r>
      <w:r w:rsidR="006151C9">
        <w:t xml:space="preserve">/dostawy towarów </w:t>
      </w:r>
      <w:r w:rsidR="008A45B9">
        <w:t xml:space="preserve">przez podmioty zagraniczne </w:t>
      </w:r>
      <w:r w:rsidR="001A39E7">
        <w:t xml:space="preserve"> na rzecz osób nie będących podatnikami (podmioty nieprofesjonalne).</w:t>
      </w:r>
    </w:p>
    <w:p w:rsidR="00860CDF" w:rsidRDefault="00860CDF" w:rsidP="00430452">
      <w:pPr>
        <w:jc w:val="both"/>
      </w:pPr>
      <w:r>
        <w:t>Zasady odwrotnego obciążenia nie można również stosować przy transakcjach obrotu złomem</w:t>
      </w:r>
      <w:r w:rsidR="0062441E">
        <w:t xml:space="preserve"> lub </w:t>
      </w:r>
      <w:r>
        <w:t>usług</w:t>
      </w:r>
      <w:r w:rsidR="006151C9">
        <w:t>ami</w:t>
      </w:r>
      <w:r>
        <w:t xml:space="preserve"> </w:t>
      </w:r>
      <w:r w:rsidRPr="00860CDF">
        <w:t>w zakresie przenoszenia uprawnień do emisji gazów cieplarnianych</w:t>
      </w:r>
      <w:r>
        <w:t>, w przypadku gdy nabywcą towaru/usługi nie jest podatnikiem w rozumieniu art. 15 ustawy o VAT (</w:t>
      </w:r>
      <w:r>
        <w:t>przedsiębiorca</w:t>
      </w:r>
      <w:r>
        <w:t>/podmiot profesjonalny)</w:t>
      </w:r>
      <w:r w:rsidR="00806419">
        <w:t>.</w:t>
      </w:r>
    </w:p>
    <w:p w:rsidR="00806419" w:rsidRPr="00430452" w:rsidRDefault="00806419" w:rsidP="00430452">
      <w:pPr>
        <w:jc w:val="both"/>
      </w:pPr>
      <w:r>
        <w:t xml:space="preserve">Reguł </w:t>
      </w:r>
      <w:proofErr w:type="spellStart"/>
      <w:r>
        <w:t>reverse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nie stosuje się także j</w:t>
      </w:r>
      <w:r w:rsidRPr="00806419">
        <w:t>eżeli dostawa towarów dokonywana jest w ramach sprzedaży wysyłkowej na terytorium kraju.</w:t>
      </w:r>
    </w:p>
    <w:p w:rsidR="00443521" w:rsidRDefault="00443521"/>
    <w:p w:rsidR="00105A8B" w:rsidRPr="00443521" w:rsidRDefault="00BC3D7B">
      <w:pPr>
        <w:rPr>
          <w:b/>
        </w:rPr>
      </w:pPr>
      <w:r w:rsidRPr="00443521">
        <w:rPr>
          <w:b/>
        </w:rPr>
        <w:t>JAK sporządzić fakturę:</w:t>
      </w:r>
    </w:p>
    <w:p w:rsidR="006463AA" w:rsidRDefault="00443521" w:rsidP="006463AA">
      <w:pPr>
        <w:jc w:val="both"/>
      </w:pPr>
      <w:r>
        <w:t>Poza standardowymi wymogami podatnicy, którzy wystawiają</w:t>
      </w:r>
      <w:r w:rsidR="00811C3F">
        <w:t>cy</w:t>
      </w:r>
      <w:r>
        <w:t xml:space="preserve"> faktury </w:t>
      </w:r>
      <w:r w:rsidR="00811C3F">
        <w:t xml:space="preserve">VAT dla </w:t>
      </w:r>
      <w:r>
        <w:t xml:space="preserve">których zastosowanie ma mechanizm odwrotnego obciążenia powinni zwrócić uwagę na </w:t>
      </w:r>
      <w:r w:rsidR="00ED1B8C">
        <w:t xml:space="preserve">to aby </w:t>
      </w:r>
      <w:r w:rsidR="00811C3F">
        <w:t xml:space="preserve">taka </w:t>
      </w:r>
      <w:r w:rsidR="00ED1B8C">
        <w:t>faktura nie zawierała</w:t>
      </w:r>
      <w:r w:rsidR="00BC3D7B">
        <w:t xml:space="preserve"> stawki VAT</w:t>
      </w:r>
      <w:r w:rsidR="00ED1B8C">
        <w:t>.</w:t>
      </w:r>
    </w:p>
    <w:p w:rsidR="006463AA" w:rsidRDefault="006463AA" w:rsidP="006463AA">
      <w:pPr>
        <w:spacing w:after="0" w:line="240" w:lineRule="auto"/>
        <w:jc w:val="both"/>
      </w:pPr>
      <w:r>
        <w:t>Ponadto w przypadku eksportu usług zgodnie z §26 pkt. 4 rozporządzenia z </w:t>
      </w:r>
      <w:r w:rsidRPr="006463AA">
        <w:t>dnia 28 marca 2011 r. (Dz. U. z dnia 30 marca 2011 r.) w sprawie zwrotu podatku niektórym podatnikom, wystawiania faktur, sposobu ich przechowywania oraz listy towarów i usług, do których nie mają zastosowania zwolnienia od podatku od towarów i usług</w:t>
      </w:r>
      <w:r>
        <w:t xml:space="preserve"> w fakturze powinna znaleźć się informacja o </w:t>
      </w:r>
      <w:r>
        <w:t>numer</w:t>
      </w:r>
      <w:r>
        <w:t>ze</w:t>
      </w:r>
      <w:r>
        <w:t>, pod którym nabywca usługi jest zidentyfikowany na potrzeby podatku od wartości dodanej na terytorium państwa członkowskiego innym niż terytorium kraju, oraz:</w:t>
      </w:r>
    </w:p>
    <w:p w:rsidR="006463AA" w:rsidRDefault="006463AA" w:rsidP="006463AA">
      <w:pPr>
        <w:spacing w:after="0" w:line="240" w:lineRule="auto"/>
        <w:jc w:val="both"/>
      </w:pPr>
      <w:r>
        <w:t>1) adnotację, że podatek rozlicza nabywca lub</w:t>
      </w:r>
    </w:p>
    <w:p w:rsidR="006463AA" w:rsidRDefault="006463AA" w:rsidP="006463AA">
      <w:pPr>
        <w:spacing w:after="0" w:line="240" w:lineRule="auto"/>
        <w:jc w:val="both"/>
      </w:pPr>
      <w:r>
        <w:t>2) wskazanie właściwego przepisu ustawy lub dyrektywy, wskazującego, że podatek rozlicza nabywca, lub</w:t>
      </w:r>
    </w:p>
    <w:p w:rsidR="00BC3D7B" w:rsidRDefault="006463AA" w:rsidP="006463AA">
      <w:pPr>
        <w:spacing w:after="0" w:line="240" w:lineRule="auto"/>
        <w:jc w:val="both"/>
      </w:pPr>
      <w:r>
        <w:t>3) oznaczenie "odwrotne obciążenie".</w:t>
      </w:r>
      <w:r>
        <w:t xml:space="preserve"> </w:t>
      </w:r>
    </w:p>
    <w:p w:rsidR="00BC3D7B" w:rsidRDefault="006463AA" w:rsidP="006463AA">
      <w:pPr>
        <w:spacing w:after="0" w:line="240" w:lineRule="auto"/>
        <w:jc w:val="both"/>
      </w:pPr>
      <w:r>
        <w:t>W praktyce powyższa adnotacja jest również bardzo mile widziana przy transakcji sprzedaży towarów, dla której podatnikiem podatku VAT jest nabywca towaru.</w:t>
      </w:r>
    </w:p>
    <w:p w:rsidR="00BC3D7B" w:rsidRDefault="00BC3D7B"/>
    <w:p w:rsidR="00105A8B" w:rsidRPr="00C74D43" w:rsidRDefault="00416841">
      <w:pPr>
        <w:rPr>
          <w:b/>
        </w:rPr>
      </w:pPr>
      <w:r w:rsidRPr="00C74D43">
        <w:rPr>
          <w:b/>
        </w:rPr>
        <w:t>Potencjalne problemy</w:t>
      </w:r>
      <w:r w:rsidR="00806419" w:rsidRPr="00C74D43">
        <w:rPr>
          <w:b/>
        </w:rPr>
        <w:t xml:space="preserve"> z jakimi można się spotkać stosując mechanizm </w:t>
      </w:r>
      <w:proofErr w:type="spellStart"/>
      <w:r w:rsidR="00806419" w:rsidRPr="00C74D43">
        <w:rPr>
          <w:b/>
        </w:rPr>
        <w:t>reverse</w:t>
      </w:r>
      <w:proofErr w:type="spellEnd"/>
      <w:r w:rsidR="00806419" w:rsidRPr="00C74D43">
        <w:rPr>
          <w:b/>
        </w:rPr>
        <w:t xml:space="preserve"> </w:t>
      </w:r>
      <w:proofErr w:type="spellStart"/>
      <w:r w:rsidR="00806419" w:rsidRPr="00C74D43">
        <w:rPr>
          <w:b/>
        </w:rPr>
        <w:t>charge</w:t>
      </w:r>
      <w:proofErr w:type="spellEnd"/>
      <w:r w:rsidR="00806419" w:rsidRPr="00C74D43">
        <w:rPr>
          <w:b/>
        </w:rPr>
        <w:t>.</w:t>
      </w:r>
    </w:p>
    <w:p w:rsidR="002B54E3" w:rsidRDefault="00806419" w:rsidP="00806419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>N</w:t>
      </w:r>
      <w:r w:rsidR="00416841" w:rsidRPr="00806419">
        <w:t xml:space="preserve">abywca </w:t>
      </w:r>
      <w:r>
        <w:t xml:space="preserve">towarów </w:t>
      </w:r>
      <w:r w:rsidR="00416841" w:rsidRPr="00806419">
        <w:t xml:space="preserve">za każdym razem musi upewnić się, że sprzedawca nie posiada w </w:t>
      </w:r>
      <w:r>
        <w:t>Polsce siedziby lub stał</w:t>
      </w:r>
      <w:r w:rsidR="00416841" w:rsidRPr="00806419">
        <w:t>ego miejsca prowadzenia działalności</w:t>
      </w:r>
      <w:r>
        <w:t>.</w:t>
      </w:r>
      <w:r w:rsidR="002B54E3">
        <w:t xml:space="preserve"> Występują tu dwa potencjalne problemy:</w:t>
      </w:r>
    </w:p>
    <w:p w:rsidR="00416841" w:rsidRDefault="002B54E3" w:rsidP="002B54E3">
      <w:pPr>
        <w:pStyle w:val="Akapitzlist"/>
        <w:numPr>
          <w:ilvl w:val="1"/>
          <w:numId w:val="3"/>
        </w:numPr>
        <w:spacing w:after="0" w:line="240" w:lineRule="auto"/>
        <w:jc w:val="both"/>
      </w:pPr>
      <w:r w:rsidRPr="002B54E3">
        <w:rPr>
          <w:b/>
        </w:rPr>
        <w:t>sprzedawca naliczył podatek VAT</w:t>
      </w:r>
      <w:r>
        <w:t xml:space="preserve"> w przypadku gdy nie ma do tego prawa (brak siedziby lub stałego miejsca prowadzenia działalności) – </w:t>
      </w:r>
      <w:r w:rsidR="0062441E">
        <w:t>nabywca naraża się na </w:t>
      </w:r>
      <w:r w:rsidR="00416841" w:rsidRPr="00806419">
        <w:t>odl</w:t>
      </w:r>
      <w:r>
        <w:t>i</w:t>
      </w:r>
      <w:r w:rsidR="00416841" w:rsidRPr="00806419">
        <w:t>czenie VAT z błędnie wystawionej faktury – art. 88</w:t>
      </w:r>
      <w:r>
        <w:t xml:space="preserve"> ust. 3a  pkt. 2 </w:t>
      </w:r>
      <w:r w:rsidR="0062441E">
        <w:t>ustawy o </w:t>
      </w:r>
      <w:r>
        <w:t>VAT,</w:t>
      </w:r>
    </w:p>
    <w:p w:rsidR="002B54E3" w:rsidRPr="00806419" w:rsidRDefault="002B54E3" w:rsidP="002B54E3">
      <w:pPr>
        <w:pStyle w:val="Akapitzlist"/>
        <w:numPr>
          <w:ilvl w:val="1"/>
          <w:numId w:val="3"/>
        </w:numPr>
        <w:spacing w:after="0" w:line="240" w:lineRule="auto"/>
        <w:jc w:val="both"/>
      </w:pPr>
      <w:r>
        <w:rPr>
          <w:b/>
        </w:rPr>
        <w:t xml:space="preserve">sprzedawca posiada w Polsce stałe miejsce prowadzenia działalności, a mimo to nie naliczył podatku VAT </w:t>
      </w:r>
      <w:r>
        <w:t>– w tej sytuacji gdy podatnik wystawiłby fakturę wewnętrzną i</w:t>
      </w:r>
      <w:r w:rsidR="00C74D43">
        <w:t> </w:t>
      </w:r>
      <w:r>
        <w:t xml:space="preserve">rozliczył podatek VAT mógłby się narazić na zarzut odliczenia podatku naliczonego </w:t>
      </w:r>
      <w:r>
        <w:lastRenderedPageBreak/>
        <w:t>z</w:t>
      </w:r>
      <w:r w:rsidR="00C74D43">
        <w:t> </w:t>
      </w:r>
      <w:r>
        <w:t>faktury wewnętrznej, która została wystawiona błędnie (</w:t>
      </w:r>
      <w:r w:rsidR="00AE2952">
        <w:t>VAT powinien być uwzględniony na fakturze sprzedawcy).</w:t>
      </w:r>
    </w:p>
    <w:p w:rsidR="00416841" w:rsidRPr="00416841" w:rsidRDefault="00416841" w:rsidP="00416841">
      <w:pPr>
        <w:pStyle w:val="Akapitzlis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416841" w:rsidRDefault="00AE2952" w:rsidP="00C74D43">
      <w:pPr>
        <w:pStyle w:val="Akapitzlist"/>
        <w:numPr>
          <w:ilvl w:val="0"/>
          <w:numId w:val="4"/>
        </w:numPr>
        <w:jc w:val="both"/>
      </w:pPr>
      <w:r>
        <w:t>Deklaracja VAT-9M, a właściwie jej nie złożenie stanowi zagrożenie z jednej strony dla</w:t>
      </w:r>
      <w:r w:rsidR="00C74D43">
        <w:t> </w:t>
      </w:r>
      <w:r>
        <w:t>podatnika, który naraża się na postepowanie karnoskarbowe i mandat</w:t>
      </w:r>
      <w:r w:rsidR="00C74D43">
        <w:t xml:space="preserve">, a z drugiej strony dla budżetu państwa, które w związku z brakiem rozliczenia podatku VAT będzie miało mniejsze wpływy. </w:t>
      </w:r>
      <w:r>
        <w:t xml:space="preserve"> </w:t>
      </w:r>
      <w:r w:rsidR="00C74D43">
        <w:t>Zaznaczyć należy, że zobowiązanymi do składania deklaracji VAT9M są</w:t>
      </w:r>
      <w:r w:rsidR="008C4509">
        <w:t> </w:t>
      </w:r>
      <w:r w:rsidR="00C74D43">
        <w:t>podmioty zwolnione z VAT, które domyślnie mają zakodowane, że ich VAT nie dotyczy</w:t>
      </w:r>
      <w:r w:rsidR="008C4509">
        <w:t>.</w:t>
      </w:r>
      <w:r w:rsidR="00C74D43">
        <w:t xml:space="preserve"> </w:t>
      </w:r>
      <w:r w:rsidR="008C4509">
        <w:t xml:space="preserve">Sytuacja w której podatek VAT nie zostanie rozliczony będzie moim zdaniem spotykana coraz częściej. </w:t>
      </w:r>
    </w:p>
    <w:p w:rsidR="00416841" w:rsidRDefault="00416841" w:rsidP="00416841">
      <w:pPr>
        <w:pStyle w:val="Akapitzlist"/>
      </w:pPr>
    </w:p>
    <w:p w:rsidR="0062441E" w:rsidRDefault="0062441E" w:rsidP="0062441E">
      <w:pPr>
        <w:jc w:val="right"/>
      </w:pPr>
      <w:r>
        <w:rPr>
          <w:rStyle w:val="Uwydatnienie"/>
          <w:rFonts w:ascii="Tahoma" w:hAnsi="Tahoma" w:cs="Tahoma"/>
          <w:color w:val="492C0F"/>
          <w:sz w:val="20"/>
          <w:szCs w:val="20"/>
        </w:rPr>
        <w:t>Piotr Kawa</w:t>
      </w:r>
    </w:p>
    <w:p w:rsidR="0062441E" w:rsidRDefault="0062441E" w:rsidP="0062441E">
      <w:pPr>
        <w:jc w:val="both"/>
        <w:rPr>
          <w:rStyle w:val="Uwydatnienie"/>
          <w:rFonts w:ascii="Tahoma" w:hAnsi="Tahoma" w:cs="Tahoma"/>
          <w:color w:val="492C0F"/>
          <w:sz w:val="20"/>
          <w:szCs w:val="20"/>
        </w:rPr>
      </w:pPr>
    </w:p>
    <w:p w:rsidR="0062441E" w:rsidRDefault="0062441E" w:rsidP="0062441E">
      <w:pPr>
        <w:jc w:val="both"/>
        <w:rPr>
          <w:rStyle w:val="Uwydatnienie"/>
          <w:rFonts w:ascii="Tahoma" w:hAnsi="Tahoma" w:cs="Tahoma"/>
          <w:color w:val="492C0F"/>
          <w:sz w:val="20"/>
          <w:szCs w:val="20"/>
        </w:rPr>
      </w:pPr>
      <w:r>
        <w:rPr>
          <w:rStyle w:val="Uwydatnienie"/>
          <w:rFonts w:ascii="Tahoma" w:hAnsi="Tahoma" w:cs="Tahoma"/>
          <w:color w:val="492C0F"/>
          <w:sz w:val="20"/>
          <w:szCs w:val="20"/>
        </w:rPr>
        <w:t>Przy opracowywaniu niniejszej publikacji autor korzystał z ustawy z dnia 1</w:t>
      </w:r>
      <w:r>
        <w:rPr>
          <w:rStyle w:val="Uwydatnienie"/>
          <w:rFonts w:ascii="Tahoma" w:hAnsi="Tahoma" w:cs="Tahoma"/>
          <w:color w:val="492C0F"/>
          <w:sz w:val="20"/>
          <w:szCs w:val="20"/>
        </w:rPr>
        <w:t>1 marca 2004</w:t>
      </w:r>
      <w:r>
        <w:rPr>
          <w:rStyle w:val="Uwydatnienie"/>
          <w:rFonts w:ascii="Tahoma" w:hAnsi="Tahoma" w:cs="Tahoma"/>
          <w:color w:val="492C0F"/>
          <w:sz w:val="20"/>
          <w:szCs w:val="20"/>
        </w:rPr>
        <w:t xml:space="preserve"> r. o </w:t>
      </w:r>
      <w:r>
        <w:rPr>
          <w:rStyle w:val="Uwydatnienie"/>
          <w:rFonts w:ascii="Tahoma" w:hAnsi="Tahoma" w:cs="Tahoma"/>
          <w:color w:val="492C0F"/>
          <w:sz w:val="20"/>
          <w:szCs w:val="20"/>
        </w:rPr>
        <w:t>podatku od towarów i usług</w:t>
      </w:r>
      <w:r w:rsidRPr="00C70069">
        <w:rPr>
          <w:rStyle w:val="Uwydatnienie"/>
          <w:rFonts w:ascii="Tahoma" w:hAnsi="Tahoma" w:cs="Tahoma"/>
          <w:color w:val="492C0F"/>
          <w:sz w:val="20"/>
          <w:szCs w:val="20"/>
        </w:rPr>
        <w:t xml:space="preserve">, </w:t>
      </w:r>
      <w:r>
        <w:rPr>
          <w:rStyle w:val="Uwydatnienie"/>
          <w:rFonts w:ascii="Tahoma" w:hAnsi="Tahoma" w:cs="Tahoma"/>
          <w:color w:val="492C0F"/>
          <w:sz w:val="20"/>
          <w:szCs w:val="20"/>
        </w:rPr>
        <w:t>w stanie prawnym obowiązującym na dzień opracowania</w:t>
      </w:r>
      <w:bookmarkStart w:id="0" w:name="_GoBack"/>
      <w:bookmarkEnd w:id="0"/>
      <w:permStart w:id="485710290" w:edGrp="everyone"/>
      <w:permEnd w:id="485710290"/>
      <w:r>
        <w:rPr>
          <w:rStyle w:val="Uwydatnienie"/>
          <w:rFonts w:ascii="Tahoma" w:hAnsi="Tahoma" w:cs="Tahoma"/>
          <w:color w:val="492C0F"/>
          <w:sz w:val="20"/>
          <w:szCs w:val="20"/>
        </w:rPr>
        <w:t>.</w:t>
      </w:r>
    </w:p>
    <w:p w:rsidR="0062441E" w:rsidRDefault="0062441E" w:rsidP="0062441E">
      <w:pPr>
        <w:pStyle w:val="Stopka"/>
        <w:pBdr>
          <w:top w:val="single" w:sz="4" w:space="1" w:color="D9D9D9" w:themeColor="background1" w:themeShade="D9"/>
        </w:pBdr>
        <w:tabs>
          <w:tab w:val="left" w:pos="705"/>
        </w:tabs>
        <w:jc w:val="center"/>
        <w:rPr>
          <w:rStyle w:val="Uwydatnienie"/>
          <w:rFonts w:ascii="Tahoma" w:hAnsi="Tahoma" w:cs="Tahoma"/>
          <w:color w:val="492C0F"/>
          <w:sz w:val="20"/>
          <w:szCs w:val="20"/>
        </w:rPr>
      </w:pPr>
      <w:r>
        <w:rPr>
          <w:rStyle w:val="Uwydatnienie"/>
          <w:rFonts w:ascii="Tahoma" w:hAnsi="Tahoma" w:cs="Tahoma"/>
          <w:color w:val="492C0F"/>
          <w:sz w:val="20"/>
          <w:szCs w:val="20"/>
        </w:rPr>
        <w:t xml:space="preserve">Niniejsza publikacja </w:t>
      </w:r>
      <w:r w:rsidRPr="001E7C5D">
        <w:rPr>
          <w:rStyle w:val="Uwydatnienie"/>
          <w:rFonts w:ascii="Tahoma" w:hAnsi="Tahoma" w:cs="Tahoma"/>
          <w:color w:val="492C0F"/>
          <w:sz w:val="20"/>
          <w:szCs w:val="20"/>
        </w:rPr>
        <w:t>nie może być podstawą do jakichkolwiek roszczeń lub reklamacji wobec naszej firmy</w:t>
      </w:r>
      <w:r>
        <w:rPr>
          <w:rStyle w:val="Uwydatnienie"/>
          <w:rFonts w:ascii="Tahoma" w:hAnsi="Tahoma" w:cs="Tahoma"/>
          <w:color w:val="492C0F"/>
          <w:sz w:val="20"/>
          <w:szCs w:val="20"/>
        </w:rPr>
        <w:t>. Publikacja ta nie jest poradą prawną, a jej celem jest jedynie przekazanie podstawowych informacji osobom zainteresowanym.</w:t>
      </w:r>
    </w:p>
    <w:p w:rsidR="00416841" w:rsidRDefault="00416841"/>
    <w:p w:rsidR="00A503EB" w:rsidRPr="00A503EB" w:rsidRDefault="00A503EB" w:rsidP="00A503EB"/>
    <w:p w:rsidR="00A503EB" w:rsidRPr="00A503EB" w:rsidRDefault="00A503EB" w:rsidP="00A503EB"/>
    <w:p w:rsidR="00A503EB" w:rsidRPr="00A503EB" w:rsidRDefault="00A503EB" w:rsidP="00A503EB"/>
    <w:p w:rsidR="00A503EB" w:rsidRPr="00A503EB" w:rsidRDefault="00A503EB" w:rsidP="00A503EB"/>
    <w:p w:rsidR="00A503EB" w:rsidRPr="00A503EB" w:rsidRDefault="00A503EB" w:rsidP="00A503EB"/>
    <w:p w:rsidR="00A503EB" w:rsidRPr="00A503EB" w:rsidRDefault="00A503EB" w:rsidP="00A503EB"/>
    <w:p w:rsidR="00A503EB" w:rsidRDefault="00A503EB" w:rsidP="00A503EB"/>
    <w:p w:rsidR="00105A8B" w:rsidRPr="00A503EB" w:rsidRDefault="00105A8B" w:rsidP="00A503EB"/>
    <w:sectPr w:rsidR="00105A8B" w:rsidRPr="00A503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86" w:rsidRDefault="00E62586" w:rsidP="00920865">
      <w:pPr>
        <w:spacing w:after="0" w:line="240" w:lineRule="auto"/>
      </w:pPr>
      <w:r>
        <w:separator/>
      </w:r>
    </w:p>
  </w:endnote>
  <w:endnote w:type="continuationSeparator" w:id="0">
    <w:p w:rsidR="00E62586" w:rsidRDefault="00E62586" w:rsidP="0092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C91FD4" w:rsidRPr="006C73EE" w:rsidTr="00424EFE">
      <w:trPr>
        <w:trHeight w:val="80"/>
      </w:trPr>
      <w:tc>
        <w:tcPr>
          <w:tcW w:w="3070" w:type="dxa"/>
          <w:shd w:val="clear" w:color="auto" w:fill="auto"/>
          <w:vAlign w:val="center"/>
        </w:tcPr>
        <w:p w:rsidR="00C91FD4" w:rsidRPr="006C73EE" w:rsidRDefault="00C91FD4" w:rsidP="00424EFE">
          <w:pPr>
            <w:pStyle w:val="Stopka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 wp14:anchorId="0590AB62" wp14:editId="1A0B8796">
                <wp:extent cx="1352550" cy="523875"/>
                <wp:effectExtent l="0" t="0" r="0" b="9525"/>
                <wp:docPr id="2" name="Obraz 2" descr="Logo_adme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_adme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630" b="284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shd w:val="clear" w:color="auto" w:fill="auto"/>
          <w:vAlign w:val="center"/>
        </w:tcPr>
        <w:p w:rsidR="00C91FD4" w:rsidRPr="00FC78F2" w:rsidRDefault="00C91FD4" w:rsidP="00424EFE">
          <w:pPr>
            <w:pStyle w:val="Stopka"/>
            <w:jc w:val="center"/>
            <w:rPr>
              <w:sz w:val="16"/>
              <w:szCs w:val="16"/>
            </w:rPr>
          </w:pPr>
          <w:hyperlink r:id="rId2" w:history="1">
            <w:r w:rsidRPr="00FC78F2">
              <w:rPr>
                <w:rStyle w:val="Hipercze"/>
                <w:sz w:val="16"/>
                <w:szCs w:val="16"/>
              </w:rPr>
              <w:t>www.admeria.pl</w:t>
            </w:r>
          </w:hyperlink>
        </w:p>
        <w:p w:rsidR="00C91FD4" w:rsidRPr="00FC78F2" w:rsidRDefault="00C91FD4" w:rsidP="00424EFE">
          <w:pPr>
            <w:pStyle w:val="Stopka"/>
            <w:jc w:val="center"/>
            <w:rPr>
              <w:sz w:val="16"/>
              <w:szCs w:val="16"/>
            </w:rPr>
          </w:pPr>
          <w:hyperlink r:id="rId3" w:history="1">
            <w:r w:rsidRPr="00FC78F2">
              <w:rPr>
                <w:rStyle w:val="Hipercze"/>
                <w:sz w:val="16"/>
                <w:szCs w:val="16"/>
              </w:rPr>
              <w:t>info@admeria.pl</w:t>
            </w:r>
          </w:hyperlink>
        </w:p>
      </w:tc>
      <w:tc>
        <w:tcPr>
          <w:tcW w:w="3071" w:type="dxa"/>
          <w:shd w:val="clear" w:color="auto" w:fill="auto"/>
          <w:vAlign w:val="center"/>
        </w:tcPr>
        <w:p w:rsidR="00C91FD4" w:rsidRPr="006C73EE" w:rsidRDefault="00C91FD4" w:rsidP="00C91FD4">
          <w:pPr>
            <w:pStyle w:val="Stopka"/>
            <w:jc w:val="right"/>
            <w:rPr>
              <w:sz w:val="16"/>
              <w:szCs w:val="16"/>
            </w:rPr>
          </w:pPr>
          <w:proofErr w:type="spellStart"/>
          <w:r w:rsidRPr="006C73EE">
            <w:rPr>
              <w:sz w:val="16"/>
              <w:szCs w:val="16"/>
            </w:rPr>
            <w:t>ver</w:t>
          </w:r>
          <w:proofErr w:type="spellEnd"/>
          <w:r w:rsidRPr="006C73EE">
            <w:rPr>
              <w:sz w:val="16"/>
              <w:szCs w:val="16"/>
            </w:rPr>
            <w:t xml:space="preserve">. </w:t>
          </w:r>
          <w:r>
            <w:rPr>
              <w:sz w:val="16"/>
              <w:szCs w:val="16"/>
            </w:rPr>
            <w:t>0</w:t>
          </w:r>
          <w:r>
            <w:rPr>
              <w:sz w:val="16"/>
              <w:szCs w:val="16"/>
            </w:rPr>
            <w:t>8</w:t>
          </w:r>
          <w:r>
            <w:rPr>
              <w:sz w:val="16"/>
              <w:szCs w:val="16"/>
            </w:rPr>
            <w:t>/</w:t>
          </w:r>
          <w:r w:rsidRPr="006C73EE">
            <w:rPr>
              <w:sz w:val="16"/>
              <w:szCs w:val="16"/>
            </w:rPr>
            <w:t xml:space="preserve">2011; </w:t>
          </w:r>
          <w:r>
            <w:rPr>
              <w:sz w:val="16"/>
              <w:szCs w:val="16"/>
            </w:rPr>
            <w:t>03</w:t>
          </w:r>
          <w:r w:rsidRPr="006C73EE">
            <w:rPr>
              <w:sz w:val="16"/>
              <w:szCs w:val="16"/>
            </w:rPr>
            <w:t>/0</w:t>
          </w:r>
          <w:r>
            <w:rPr>
              <w:sz w:val="16"/>
              <w:szCs w:val="16"/>
            </w:rPr>
            <w:t>8</w:t>
          </w:r>
          <w:r w:rsidRPr="006C73EE">
            <w:rPr>
              <w:sz w:val="16"/>
              <w:szCs w:val="16"/>
            </w:rPr>
            <w:t>/2011</w:t>
          </w:r>
        </w:p>
      </w:tc>
    </w:tr>
  </w:tbl>
  <w:p w:rsidR="00C91FD4" w:rsidRDefault="00C91F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86" w:rsidRDefault="00E62586" w:rsidP="00920865">
      <w:pPr>
        <w:spacing w:after="0" w:line="240" w:lineRule="auto"/>
      </w:pPr>
      <w:r>
        <w:separator/>
      </w:r>
    </w:p>
  </w:footnote>
  <w:footnote w:type="continuationSeparator" w:id="0">
    <w:p w:rsidR="00E62586" w:rsidRDefault="00E62586" w:rsidP="00920865">
      <w:pPr>
        <w:spacing w:after="0" w:line="240" w:lineRule="auto"/>
      </w:pPr>
      <w:r>
        <w:continuationSeparator/>
      </w:r>
    </w:p>
  </w:footnote>
  <w:footnote w:id="1">
    <w:p w:rsidR="00920865" w:rsidRDefault="00920865" w:rsidP="00C91FD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6B24B1">
        <w:t xml:space="preserve">Metoda </w:t>
      </w:r>
      <w:proofErr w:type="spellStart"/>
      <w:r w:rsidR="006B24B1">
        <w:t>reverse</w:t>
      </w:r>
      <w:proofErr w:type="spellEnd"/>
      <w:r w:rsidR="006B24B1">
        <w:t xml:space="preserve"> </w:t>
      </w:r>
      <w:proofErr w:type="spellStart"/>
      <w:r w:rsidR="006B24B1">
        <w:t>charge</w:t>
      </w:r>
      <w:proofErr w:type="spellEnd"/>
      <w:r w:rsidR="006B24B1">
        <w:t xml:space="preserve"> </w:t>
      </w:r>
      <w:r>
        <w:t xml:space="preserve"> nie dotyczy </w:t>
      </w:r>
      <w:r w:rsidRPr="00920865">
        <w:t>świadczenia</w:t>
      </w:r>
      <w:r>
        <w:t xml:space="preserve"> usług związanych z nier</w:t>
      </w:r>
      <w:r w:rsidR="00C91FD4">
        <w:t>uchomościami (art. 28e ustawy o </w:t>
      </w:r>
      <w:r>
        <w:t>VAT)</w:t>
      </w:r>
      <w:r w:rsidRPr="00920865">
        <w:t xml:space="preserve"> przez podmiot zarejest</w:t>
      </w:r>
      <w:r>
        <w:t>rowany zgodnie z art. 96 ust. 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7A28"/>
    <w:multiLevelType w:val="hybridMultilevel"/>
    <w:tmpl w:val="32CAC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77B8E"/>
    <w:multiLevelType w:val="hybridMultilevel"/>
    <w:tmpl w:val="FC588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13521"/>
    <w:multiLevelType w:val="hybridMultilevel"/>
    <w:tmpl w:val="0DC6A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2537"/>
    <w:multiLevelType w:val="hybridMultilevel"/>
    <w:tmpl w:val="D3C4C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Xrjz5g/3izr0HIZx1fuRVT2ZfO4=" w:salt="t+Xmn9/QADJjR9P8Q7Mb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8B"/>
    <w:rsid w:val="00012C46"/>
    <w:rsid w:val="000135F0"/>
    <w:rsid w:val="00014444"/>
    <w:rsid w:val="00017B15"/>
    <w:rsid w:val="000243FA"/>
    <w:rsid w:val="000253B8"/>
    <w:rsid w:val="0004455D"/>
    <w:rsid w:val="00060732"/>
    <w:rsid w:val="00066CEC"/>
    <w:rsid w:val="000721AF"/>
    <w:rsid w:val="00081A5B"/>
    <w:rsid w:val="0009007D"/>
    <w:rsid w:val="000920EB"/>
    <w:rsid w:val="000965E7"/>
    <w:rsid w:val="000A73E7"/>
    <w:rsid w:val="000B07AF"/>
    <w:rsid w:val="000B4819"/>
    <w:rsid w:val="000B517C"/>
    <w:rsid w:val="000C6A4D"/>
    <w:rsid w:val="000D2639"/>
    <w:rsid w:val="000D5A65"/>
    <w:rsid w:val="000D7664"/>
    <w:rsid w:val="000F610A"/>
    <w:rsid w:val="00101A76"/>
    <w:rsid w:val="00105A8B"/>
    <w:rsid w:val="001210BD"/>
    <w:rsid w:val="00122D5E"/>
    <w:rsid w:val="00124236"/>
    <w:rsid w:val="00134527"/>
    <w:rsid w:val="00135CF9"/>
    <w:rsid w:val="00143FC5"/>
    <w:rsid w:val="00144415"/>
    <w:rsid w:val="0014457F"/>
    <w:rsid w:val="00163EF8"/>
    <w:rsid w:val="00171131"/>
    <w:rsid w:val="00181588"/>
    <w:rsid w:val="00182D03"/>
    <w:rsid w:val="0019478B"/>
    <w:rsid w:val="001A01E5"/>
    <w:rsid w:val="001A39E7"/>
    <w:rsid w:val="001B4648"/>
    <w:rsid w:val="001C4264"/>
    <w:rsid w:val="001C4433"/>
    <w:rsid w:val="001E16BF"/>
    <w:rsid w:val="001F4B79"/>
    <w:rsid w:val="0020306C"/>
    <w:rsid w:val="002034DE"/>
    <w:rsid w:val="002213A5"/>
    <w:rsid w:val="0023251A"/>
    <w:rsid w:val="002452B6"/>
    <w:rsid w:val="0025382C"/>
    <w:rsid w:val="00272565"/>
    <w:rsid w:val="00275CD8"/>
    <w:rsid w:val="0028383B"/>
    <w:rsid w:val="00291E77"/>
    <w:rsid w:val="00293C8B"/>
    <w:rsid w:val="002B1810"/>
    <w:rsid w:val="002B54E3"/>
    <w:rsid w:val="002C2F10"/>
    <w:rsid w:val="002E7CC5"/>
    <w:rsid w:val="002F05FB"/>
    <w:rsid w:val="002F123B"/>
    <w:rsid w:val="002F5179"/>
    <w:rsid w:val="002F743C"/>
    <w:rsid w:val="00301A37"/>
    <w:rsid w:val="00313CC5"/>
    <w:rsid w:val="00315789"/>
    <w:rsid w:val="00332301"/>
    <w:rsid w:val="00337E52"/>
    <w:rsid w:val="0034221B"/>
    <w:rsid w:val="00351754"/>
    <w:rsid w:val="00365B60"/>
    <w:rsid w:val="00374BA8"/>
    <w:rsid w:val="00377CD9"/>
    <w:rsid w:val="00381398"/>
    <w:rsid w:val="003817DD"/>
    <w:rsid w:val="003823A6"/>
    <w:rsid w:val="0038716C"/>
    <w:rsid w:val="00392593"/>
    <w:rsid w:val="0039336C"/>
    <w:rsid w:val="003A2BD1"/>
    <w:rsid w:val="003A4E43"/>
    <w:rsid w:val="003C053F"/>
    <w:rsid w:val="003C1D7E"/>
    <w:rsid w:val="003C65FE"/>
    <w:rsid w:val="003D090D"/>
    <w:rsid w:val="003D35D3"/>
    <w:rsid w:val="003E082D"/>
    <w:rsid w:val="003F31C6"/>
    <w:rsid w:val="003F44F3"/>
    <w:rsid w:val="00407B47"/>
    <w:rsid w:val="004113B2"/>
    <w:rsid w:val="00413AF7"/>
    <w:rsid w:val="00416841"/>
    <w:rsid w:val="004178A9"/>
    <w:rsid w:val="004253D8"/>
    <w:rsid w:val="004256C0"/>
    <w:rsid w:val="00430452"/>
    <w:rsid w:val="00432AA3"/>
    <w:rsid w:val="00443521"/>
    <w:rsid w:val="00481331"/>
    <w:rsid w:val="00493ECA"/>
    <w:rsid w:val="004A0CCB"/>
    <w:rsid w:val="004B1ECF"/>
    <w:rsid w:val="004B24AE"/>
    <w:rsid w:val="004E77C2"/>
    <w:rsid w:val="004F01DF"/>
    <w:rsid w:val="004F0E6B"/>
    <w:rsid w:val="00526758"/>
    <w:rsid w:val="00532D0E"/>
    <w:rsid w:val="005506C0"/>
    <w:rsid w:val="00552EDA"/>
    <w:rsid w:val="00552EF9"/>
    <w:rsid w:val="00561E52"/>
    <w:rsid w:val="00564578"/>
    <w:rsid w:val="00574351"/>
    <w:rsid w:val="00577E80"/>
    <w:rsid w:val="005B42D9"/>
    <w:rsid w:val="005C1DDA"/>
    <w:rsid w:val="005C3374"/>
    <w:rsid w:val="005F34A7"/>
    <w:rsid w:val="005F4943"/>
    <w:rsid w:val="005F4D32"/>
    <w:rsid w:val="006151C9"/>
    <w:rsid w:val="00615CD9"/>
    <w:rsid w:val="0062441E"/>
    <w:rsid w:val="006463AA"/>
    <w:rsid w:val="006736B4"/>
    <w:rsid w:val="006873BC"/>
    <w:rsid w:val="00697C10"/>
    <w:rsid w:val="006B24B1"/>
    <w:rsid w:val="006C2FE6"/>
    <w:rsid w:val="006C59E0"/>
    <w:rsid w:val="006D0028"/>
    <w:rsid w:val="006D5FDB"/>
    <w:rsid w:val="006F3978"/>
    <w:rsid w:val="006F3B5A"/>
    <w:rsid w:val="007165A1"/>
    <w:rsid w:val="00717443"/>
    <w:rsid w:val="00725AD4"/>
    <w:rsid w:val="00742931"/>
    <w:rsid w:val="00743DF2"/>
    <w:rsid w:val="0075134B"/>
    <w:rsid w:val="00753339"/>
    <w:rsid w:val="0075468A"/>
    <w:rsid w:val="0075543D"/>
    <w:rsid w:val="0076567C"/>
    <w:rsid w:val="007662F1"/>
    <w:rsid w:val="00772663"/>
    <w:rsid w:val="00773EDA"/>
    <w:rsid w:val="00783C2D"/>
    <w:rsid w:val="007933A5"/>
    <w:rsid w:val="007A6AA9"/>
    <w:rsid w:val="007B35FF"/>
    <w:rsid w:val="007B567D"/>
    <w:rsid w:val="007C522D"/>
    <w:rsid w:val="007E3821"/>
    <w:rsid w:val="007E45E8"/>
    <w:rsid w:val="007E6E8C"/>
    <w:rsid w:val="007E735D"/>
    <w:rsid w:val="007F0C36"/>
    <w:rsid w:val="00806271"/>
    <w:rsid w:val="00806419"/>
    <w:rsid w:val="008119FF"/>
    <w:rsid w:val="00811C3F"/>
    <w:rsid w:val="00854BFA"/>
    <w:rsid w:val="00860CDF"/>
    <w:rsid w:val="00861C2B"/>
    <w:rsid w:val="008623BF"/>
    <w:rsid w:val="00872468"/>
    <w:rsid w:val="008A45B9"/>
    <w:rsid w:val="008A4F61"/>
    <w:rsid w:val="008B14D1"/>
    <w:rsid w:val="008B1893"/>
    <w:rsid w:val="008B553E"/>
    <w:rsid w:val="008B6BB0"/>
    <w:rsid w:val="008C08DE"/>
    <w:rsid w:val="008C4509"/>
    <w:rsid w:val="008D32CA"/>
    <w:rsid w:val="008D3DED"/>
    <w:rsid w:val="008D70A6"/>
    <w:rsid w:val="008E0889"/>
    <w:rsid w:val="008E3CFD"/>
    <w:rsid w:val="00904004"/>
    <w:rsid w:val="009106D8"/>
    <w:rsid w:val="00920865"/>
    <w:rsid w:val="00920CD4"/>
    <w:rsid w:val="00927A75"/>
    <w:rsid w:val="0093600E"/>
    <w:rsid w:val="00941B2B"/>
    <w:rsid w:val="0095016C"/>
    <w:rsid w:val="00954DAC"/>
    <w:rsid w:val="009849EC"/>
    <w:rsid w:val="0099513F"/>
    <w:rsid w:val="00997854"/>
    <w:rsid w:val="009A7B03"/>
    <w:rsid w:val="009B6669"/>
    <w:rsid w:val="009C38DB"/>
    <w:rsid w:val="009D1926"/>
    <w:rsid w:val="009E1B92"/>
    <w:rsid w:val="009F0455"/>
    <w:rsid w:val="009F4A56"/>
    <w:rsid w:val="00A00337"/>
    <w:rsid w:val="00A033DA"/>
    <w:rsid w:val="00A16A70"/>
    <w:rsid w:val="00A46209"/>
    <w:rsid w:val="00A503EB"/>
    <w:rsid w:val="00A60ACE"/>
    <w:rsid w:val="00A66825"/>
    <w:rsid w:val="00A77764"/>
    <w:rsid w:val="00A86CAE"/>
    <w:rsid w:val="00A90671"/>
    <w:rsid w:val="00A9516F"/>
    <w:rsid w:val="00AA2903"/>
    <w:rsid w:val="00AB1C9E"/>
    <w:rsid w:val="00AC1035"/>
    <w:rsid w:val="00AD0DF8"/>
    <w:rsid w:val="00AE1794"/>
    <w:rsid w:val="00AE2952"/>
    <w:rsid w:val="00AE2D27"/>
    <w:rsid w:val="00AF3A9E"/>
    <w:rsid w:val="00AF69B7"/>
    <w:rsid w:val="00B147CF"/>
    <w:rsid w:val="00B16031"/>
    <w:rsid w:val="00B25311"/>
    <w:rsid w:val="00B25F53"/>
    <w:rsid w:val="00B270A6"/>
    <w:rsid w:val="00B40798"/>
    <w:rsid w:val="00B512C1"/>
    <w:rsid w:val="00B55C21"/>
    <w:rsid w:val="00B647BB"/>
    <w:rsid w:val="00B66079"/>
    <w:rsid w:val="00B72502"/>
    <w:rsid w:val="00B77AD8"/>
    <w:rsid w:val="00B81F1C"/>
    <w:rsid w:val="00BA08A8"/>
    <w:rsid w:val="00BA4423"/>
    <w:rsid w:val="00BB385F"/>
    <w:rsid w:val="00BC3D7B"/>
    <w:rsid w:val="00BD65B2"/>
    <w:rsid w:val="00BD7D04"/>
    <w:rsid w:val="00BE420D"/>
    <w:rsid w:val="00BE5072"/>
    <w:rsid w:val="00BE6FD4"/>
    <w:rsid w:val="00BF3855"/>
    <w:rsid w:val="00BF4D3F"/>
    <w:rsid w:val="00BF5AF5"/>
    <w:rsid w:val="00C0161D"/>
    <w:rsid w:val="00C0206B"/>
    <w:rsid w:val="00C03515"/>
    <w:rsid w:val="00C07BF7"/>
    <w:rsid w:val="00C17AC8"/>
    <w:rsid w:val="00C264D2"/>
    <w:rsid w:val="00C317CC"/>
    <w:rsid w:val="00C330C4"/>
    <w:rsid w:val="00C52B11"/>
    <w:rsid w:val="00C61515"/>
    <w:rsid w:val="00C64B01"/>
    <w:rsid w:val="00C72BC6"/>
    <w:rsid w:val="00C74D43"/>
    <w:rsid w:val="00C770EE"/>
    <w:rsid w:val="00C77124"/>
    <w:rsid w:val="00C91FD4"/>
    <w:rsid w:val="00C94B76"/>
    <w:rsid w:val="00CC3B6A"/>
    <w:rsid w:val="00CC4CBA"/>
    <w:rsid w:val="00CC7698"/>
    <w:rsid w:val="00CF2F23"/>
    <w:rsid w:val="00CF77DC"/>
    <w:rsid w:val="00D13B07"/>
    <w:rsid w:val="00D13FC9"/>
    <w:rsid w:val="00D156D1"/>
    <w:rsid w:val="00D24B7F"/>
    <w:rsid w:val="00D3151D"/>
    <w:rsid w:val="00D446D1"/>
    <w:rsid w:val="00D46241"/>
    <w:rsid w:val="00D62111"/>
    <w:rsid w:val="00D65B76"/>
    <w:rsid w:val="00D711C5"/>
    <w:rsid w:val="00D754B8"/>
    <w:rsid w:val="00D77FD4"/>
    <w:rsid w:val="00D84D3C"/>
    <w:rsid w:val="00D87C38"/>
    <w:rsid w:val="00DA344F"/>
    <w:rsid w:val="00DA7F6D"/>
    <w:rsid w:val="00DE1FF3"/>
    <w:rsid w:val="00DF0542"/>
    <w:rsid w:val="00DF59FC"/>
    <w:rsid w:val="00E06B17"/>
    <w:rsid w:val="00E06D15"/>
    <w:rsid w:val="00E06FE4"/>
    <w:rsid w:val="00E07B7E"/>
    <w:rsid w:val="00E11BC6"/>
    <w:rsid w:val="00E1735F"/>
    <w:rsid w:val="00E22C3D"/>
    <w:rsid w:val="00E31650"/>
    <w:rsid w:val="00E4727B"/>
    <w:rsid w:val="00E51C42"/>
    <w:rsid w:val="00E60E00"/>
    <w:rsid w:val="00E62586"/>
    <w:rsid w:val="00E7548E"/>
    <w:rsid w:val="00E83F6E"/>
    <w:rsid w:val="00E850F8"/>
    <w:rsid w:val="00EA51BB"/>
    <w:rsid w:val="00EA6522"/>
    <w:rsid w:val="00EB1012"/>
    <w:rsid w:val="00EC679A"/>
    <w:rsid w:val="00ED1B8C"/>
    <w:rsid w:val="00ED4366"/>
    <w:rsid w:val="00EE3CB3"/>
    <w:rsid w:val="00EE47E9"/>
    <w:rsid w:val="00EF263C"/>
    <w:rsid w:val="00F016E6"/>
    <w:rsid w:val="00F035AB"/>
    <w:rsid w:val="00F05A78"/>
    <w:rsid w:val="00F175AF"/>
    <w:rsid w:val="00F20BEC"/>
    <w:rsid w:val="00F25803"/>
    <w:rsid w:val="00F32064"/>
    <w:rsid w:val="00F35956"/>
    <w:rsid w:val="00F5703E"/>
    <w:rsid w:val="00F607C6"/>
    <w:rsid w:val="00F743D3"/>
    <w:rsid w:val="00FA4CCF"/>
    <w:rsid w:val="00FA5769"/>
    <w:rsid w:val="00FC4ED5"/>
    <w:rsid w:val="00FC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90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0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0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0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0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684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C3D7B"/>
    <w:rPr>
      <w:color w:val="0000FF"/>
      <w:u w:val="single"/>
    </w:rPr>
  </w:style>
  <w:style w:type="character" w:customStyle="1" w:styleId="luchili">
    <w:name w:val="luc_hili"/>
    <w:basedOn w:val="Domylnaczcionkaakapitu"/>
    <w:rsid w:val="00BC3D7B"/>
  </w:style>
  <w:style w:type="character" w:customStyle="1" w:styleId="tabulatory">
    <w:name w:val="tabulatory"/>
    <w:basedOn w:val="Domylnaczcionkaakapitu"/>
    <w:rsid w:val="00BC3D7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8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08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08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1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FD4"/>
  </w:style>
  <w:style w:type="paragraph" w:styleId="Stopka">
    <w:name w:val="footer"/>
    <w:basedOn w:val="Normalny"/>
    <w:link w:val="StopkaZnak"/>
    <w:unhideWhenUsed/>
    <w:rsid w:val="00C91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91FD4"/>
  </w:style>
  <w:style w:type="character" w:styleId="Uwydatnienie">
    <w:name w:val="Emphasis"/>
    <w:basedOn w:val="Domylnaczcionkaakapitu"/>
    <w:uiPriority w:val="20"/>
    <w:qFormat/>
    <w:rsid w:val="006244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90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0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0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0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0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684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C3D7B"/>
    <w:rPr>
      <w:color w:val="0000FF"/>
      <w:u w:val="single"/>
    </w:rPr>
  </w:style>
  <w:style w:type="character" w:customStyle="1" w:styleId="luchili">
    <w:name w:val="luc_hili"/>
    <w:basedOn w:val="Domylnaczcionkaakapitu"/>
    <w:rsid w:val="00BC3D7B"/>
  </w:style>
  <w:style w:type="character" w:customStyle="1" w:styleId="tabulatory">
    <w:name w:val="tabulatory"/>
    <w:basedOn w:val="Domylnaczcionkaakapitu"/>
    <w:rsid w:val="00BC3D7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08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08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086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1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FD4"/>
  </w:style>
  <w:style w:type="paragraph" w:styleId="Stopka">
    <w:name w:val="footer"/>
    <w:basedOn w:val="Normalny"/>
    <w:link w:val="StopkaZnak"/>
    <w:unhideWhenUsed/>
    <w:rsid w:val="00C91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91FD4"/>
  </w:style>
  <w:style w:type="character" w:styleId="Uwydatnienie">
    <w:name w:val="Emphasis"/>
    <w:basedOn w:val="Domylnaczcionkaakapitu"/>
    <w:uiPriority w:val="20"/>
    <w:qFormat/>
    <w:rsid w:val="006244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dmeria.pl" TargetMode="External"/><Relationship Id="rId2" Type="http://schemas.openxmlformats.org/officeDocument/2006/relationships/hyperlink" Target="http://www.admeri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7261</Characters>
  <Application>Microsoft Office Word</Application>
  <DocSecurity>8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ADMERIA</Company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Kawa</dc:creator>
  <cp:lastModifiedBy>Piotr Kawa</cp:lastModifiedBy>
  <cp:revision>2</cp:revision>
  <dcterms:created xsi:type="dcterms:W3CDTF">2011-08-03T13:10:00Z</dcterms:created>
  <dcterms:modified xsi:type="dcterms:W3CDTF">2011-08-03T13:10:00Z</dcterms:modified>
</cp:coreProperties>
</file>